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1D03" w14:textId="4DC495E4" w:rsidR="008D6C1F" w:rsidRPr="008D6C1F" w:rsidRDefault="008D6C1F" w:rsidP="008D6C1F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8D6C1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Demande en aluminium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, </w:t>
      </w:r>
      <w:r w:rsidRPr="008D6C1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pas de reprise avant le second semestre</w:t>
      </w:r>
    </w:p>
    <w:p w14:paraId="7001D9FF" w14:textId="77777777" w:rsidR="008D6C1F" w:rsidRDefault="008D6C1F" w:rsidP="008D6C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6C1625B8" w14:textId="03871373" w:rsidR="008D6C1F" w:rsidRPr="008D6C1F" w:rsidRDefault="008D6C1F" w:rsidP="008D6C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8D6C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Dans une note, le courtier Crédit Suisse s’est dit prudent quant à la reprise de la demande en aluminium en 2023. Toutefois, les prévisions de cours pourraient être rehaussées si la demande venait à reprendre plus rapidement que prévu et si «</w:t>
      </w:r>
      <w:r w:rsidRPr="008D6C1F">
        <w:rPr>
          <w:rFonts w:ascii="Lato" w:eastAsia="Times New Roman" w:hAnsi="Lato" w:cs="Times New Roman"/>
          <w:b/>
          <w:bCs/>
          <w:i/>
          <w:iCs/>
          <w:color w:val="000000"/>
          <w:sz w:val="23"/>
          <w:szCs w:val="23"/>
          <w:lang w:eastAsia="fr-FR"/>
        </w:rPr>
        <w:t> l’activité économique chinoise soutenue maintenait les prix de l’électricité à un niveau élevé</w:t>
      </w:r>
      <w:r w:rsidRPr="008D6C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 », indique le courtier.</w:t>
      </w:r>
    </w:p>
    <w:p w14:paraId="28B1F67C" w14:textId="77777777" w:rsidR="008D6C1F" w:rsidRPr="008D6C1F" w:rsidRDefault="008D6C1F" w:rsidP="008D6C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4E49C997" w14:textId="77777777" w:rsidR="008D6C1F" w:rsidRPr="008D6C1F" w:rsidRDefault="008D6C1F" w:rsidP="008D6C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Crédit Suisse a ajouté </w:t>
      </w:r>
      <w:r w:rsidRPr="008D6C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Norsk Hydro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et </w:t>
      </w:r>
      <w:proofErr w:type="spellStart"/>
      <w:r w:rsidRPr="008D6C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Boliden</w:t>
      </w:r>
      <w:proofErr w:type="spellEnd"/>
      <w:r w:rsidRPr="008D6C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 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à son portefeuille d’actifs surveillés, les qualifiant de « producteurs européens de métaux de base de premier plan ». Il voit </w:t>
      </w:r>
      <w:r w:rsidRPr="008D6C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Norsk Hydro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« surperformer », et enregistrer une augmentation de la valorisation de ses actifs « verts ». Et « tandis que la demande en aluminium s’orientera vers un niveau plancher (probablement au 2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vertAlign w:val="superscript"/>
          <w:lang w:eastAsia="fr-FR"/>
        </w:rPr>
        <w:t>ème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semestre 2023), nous devrions voir apparaître les signes de reprise de la demande en Chine ». Le courtier dit préférer Norsk Hydro et Antofagasta, à qui il attribue une note « neutre », à </w:t>
      </w:r>
      <w:proofErr w:type="spellStart"/>
      <w:r w:rsidRPr="008D6C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Boliden</w:t>
      </w:r>
      <w:proofErr w:type="spellEnd"/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qui commence à « sous-performer ». Le producteur suédois sera confronté à une baisse de  trésorerie disponible cette année, en plus des prévisions baissières des cours des matières premières.</w:t>
      </w:r>
    </w:p>
    <w:p w14:paraId="7FC777D3" w14:textId="77777777" w:rsidR="008D6C1F" w:rsidRPr="008D6C1F" w:rsidRDefault="008D6C1F" w:rsidP="008D6C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S’agissant du 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Crédit Suisse prévoit que les perturbations dans les mines vont perdurer, mais que cela aura un effet positif sur le sentiment de marché et les cours à court terme. Concernant le 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zinc</w:t>
      </w: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le courtier prévoit que le marché des concentrés restera en excédent jusqu’en 2025, mais qu’il rencontrera quelques tensions à court terme en raison de perturbations dans les mines au Pérou.</w:t>
      </w:r>
    </w:p>
    <w:p w14:paraId="224CCEEB" w14:textId="77777777" w:rsidR="008D6C1F" w:rsidRPr="008D6C1F" w:rsidRDefault="008D6C1F" w:rsidP="008D6C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8D6C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0ED3A540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1F"/>
    <w:rsid w:val="000F156F"/>
    <w:rsid w:val="008D6C1F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855A5A"/>
  <w15:chartTrackingRefBased/>
  <w15:docId w15:val="{965F71EF-BF3F-F641-AD1A-B2B813A2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D6C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D6C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C1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D6C1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8D6C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D6C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6C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8D6C1F"/>
    <w:rPr>
      <w:b/>
      <w:bCs/>
    </w:rPr>
  </w:style>
  <w:style w:type="character" w:styleId="Accentuation">
    <w:name w:val="Emphasis"/>
    <w:basedOn w:val="Policepardfaut"/>
    <w:uiPriority w:val="20"/>
    <w:qFormat/>
    <w:rsid w:val="008D6C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2023-03-13T07:57:00Z</dcterms:created>
  <dcterms:modified xsi:type="dcterms:W3CDTF">2023-03-13T07:57:00Z</dcterms:modified>
</cp:coreProperties>
</file>